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3F" w:rsidRDefault="00956051" w:rsidP="00610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SAMSUN</w:t>
      </w:r>
      <w:r w:rsidR="006107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ÜNİVERSİTESİ</w:t>
      </w:r>
    </w:p>
    <w:p w:rsidR="00852950" w:rsidRDefault="0061073F" w:rsidP="00610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ÖNLİSANS VE LİSANS DÜZEYİNDEKİ</w:t>
      </w:r>
      <w:r w:rsidR="00183C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PROGRAMLAR ARASINDA </w:t>
      </w:r>
    </w:p>
    <w:p w:rsidR="0061073F" w:rsidRDefault="00852950" w:rsidP="00610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YATAY </w:t>
      </w:r>
      <w:r w:rsidR="006107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GEÇİŞ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YÖNERGESİ</w:t>
      </w:r>
    </w:p>
    <w:p w:rsidR="0061073F" w:rsidRDefault="0061073F" w:rsidP="006107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073F" w:rsidRDefault="0061073F" w:rsidP="0061073F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Amaç ve kapsam </w:t>
      </w:r>
    </w:p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MADDE 1 -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(1) </w:t>
      </w:r>
      <w:r w:rsidR="00956051" w:rsidRPr="00956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Yönergenin amacı, </w:t>
      </w:r>
      <w:r w:rsidR="00956051">
        <w:rPr>
          <w:rFonts w:ascii="Times New Roman" w:hAnsi="Times New Roman" w:cs="Times New Roman"/>
          <w:color w:val="000000" w:themeColor="text1"/>
          <w:sz w:val="24"/>
          <w:szCs w:val="24"/>
        </w:rPr>
        <w:t>Samsun Üniversitesi</w:t>
      </w:r>
      <w:r w:rsidR="00956051" w:rsidRPr="00956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Önlisans ve lisans programlarına yatay geçiş esaslarını düzenlemektir.</w:t>
      </w:r>
    </w:p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Dayanak</w:t>
      </w:r>
    </w:p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2 -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 Yönerge, Yükseköğretim Kurumlarında Önlisans ve Lisans Düzeyindeki Programlar Arasında Geçiş, Çift Anadal, Yandal ile Kurumlar Arası Kredi Transferi Yapılması Esaslarına İlişkin Yönetmelik hükümlerine dayanılarak hazırlanmıştır.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1073F" w:rsidRDefault="0061073F" w:rsidP="0061073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Başvuru </w:t>
      </w:r>
    </w:p>
    <w:p w:rsidR="00183CE9" w:rsidRDefault="0061073F" w:rsidP="0061073F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r w:rsidR="00183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Üniversitemiz programlarına yatay geçiş başvuruları </w:t>
      </w:r>
      <w:r w:rsidR="00183CE9" w:rsidRPr="00183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Yükseköğretim Kurumlarında Önlisans ve Lisans Düzeyindeki Programlar Arasında Geçiş, Çift Anadal, Yandal ile Kurumlar Arası Kredi Transferi Yapılması Esaslarına İlişkin Yönetmelik hükümlerine </w:t>
      </w:r>
      <w:r w:rsidR="00183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göre yapılır.</w:t>
      </w:r>
    </w:p>
    <w:p w:rsidR="0061073F" w:rsidRDefault="0061073F" w:rsidP="0061073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</w:p>
    <w:p w:rsidR="0061073F" w:rsidRDefault="0061073F" w:rsidP="0061073F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183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atay geçiş başvuruları uygunluk açısından Öğrenci İşleri Daire Başkanlığı tarafından değerlendirilir. İntibak işlemleri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akademik birimlerin yönetim kurulları tarafından oluşturulan komisyonlarca yapılır ve yatay geçiş işlemleri akademik birimlerin yönetim kurulu kararı ile kesinleşir.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603609" w:rsidRDefault="00603609" w:rsidP="0061073F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(2) Yatay geçiş başvurularında öğrenci öncelikle varsa transkriptinde yer alan yüzlük notu, yüzlük notu yoksa dörtlük sistemdeki notunu beyan etme</w:t>
      </w:r>
      <w:r w:rsidR="00C2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 zorundadır. Dörtlük sistemde beyan edilen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notlar değerlendirme aşamasında YÖK dönüşüm tablosuna göre yüzlük sisteme dönüştürülür.</w:t>
      </w:r>
    </w:p>
    <w:p w:rsidR="00183CE9" w:rsidRDefault="0061073F" w:rsidP="0061073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4D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6036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AF4D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 w:rsidR="00183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Yatay geçiş başvurularının değerlendirilme işlemleri;</w:t>
      </w:r>
    </w:p>
    <w:p w:rsidR="00885AAB" w:rsidRDefault="00183CE9" w:rsidP="0061073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a) Kurum içi </w:t>
      </w:r>
      <w:r w:rsid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aynı puan türünden programlara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yatay geçiş başvuruları</w:t>
      </w:r>
      <w:r w:rsid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öğrencinin</w:t>
      </w:r>
      <w:r w:rsidR="0061073F" w:rsidRPr="00AF4D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genel not ortalamasının %50’si ve merkezi yerleştirme puanının %50’si</w:t>
      </w:r>
      <w:r w:rsid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dikkate alınarak aşağıdaki formülle hesaplanır.</w:t>
      </w:r>
    </w:p>
    <w:p w:rsidR="00885AAB" w:rsidRPr="00885AAB" w:rsidRDefault="00885AAB" w:rsidP="00885AA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b) </w:t>
      </w:r>
      <w:r w:rsidRP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Kurum içi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farklı</w:t>
      </w:r>
      <w:r w:rsidRP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puan türünden programlara yatay geçiş başvuruları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öğrencinin </w:t>
      </w:r>
      <w:r w:rsidRPr="00885A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genel not ortalamasının %40’u ve merkezi yerleştirme puanının %60’i esas alınarak başarı puanları hesaplanır ve kontenjan dâhilinde yerleştirme yapılır.</w:t>
      </w:r>
    </w:p>
    <w:p w:rsidR="0061073F" w:rsidRDefault="00603609" w:rsidP="0060360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c</w:t>
      </w:r>
      <w:r w:rsidR="0061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yetenek sınavı ile öğrenci alan programlara ve ya </w:t>
      </w:r>
      <w:r w:rsidR="0061073F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Yüksekokulların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yapılan</w:t>
      </w:r>
      <w:r w:rsidR="006107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başvuruların değerlendirilmesinde, ÖSS/LYS puan şartı aranmaksızın genel not ortalamasına göre yerleştirme yapılır.</w:t>
      </w:r>
    </w:p>
    <w:p w:rsidR="0061073F" w:rsidRPr="00603609" w:rsidRDefault="00603609" w:rsidP="0061073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61073F"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>Kurumlar arası yatay geçiş</w:t>
      </w:r>
      <w:r w:rsidR="0061073F"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>başvurularının değerlendirilmesi</w:t>
      </w:r>
      <w:r w:rsidR="0061073F" w:rsidRPr="00603609">
        <w:rPr>
          <w:rFonts w:ascii="Times New Roman" w:hAnsi="Times New Roman" w:cs="Times New Roman"/>
          <w:color w:val="000000" w:themeColor="text1"/>
          <w:sz w:val="24"/>
          <w:szCs w:val="24"/>
        </w:rPr>
        <w:t>, adayın başvuru yaptığı ÖSYS puan türünde almış olduğu ÖSYS puanı ve 100 puan üzerinden GANO’su dikkate alınır ve aşağıdaki formül kullanılarak adayın değerlendirme puanı hesaplanır.</w:t>
      </w:r>
    </w:p>
    <w:p w:rsidR="00DE57F2" w:rsidRPr="00DE57F2" w:rsidRDefault="00DE57F2" w:rsidP="0061073F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57F2">
        <w:rPr>
          <w:rFonts w:ascii="Times New Roman" w:hAnsi="Times New Roman" w:cs="Times New Roman"/>
          <w:color w:val="000000" w:themeColor="text1"/>
          <w:sz w:val="36"/>
          <w:szCs w:val="24"/>
        </w:rPr>
        <w:t>[</w:t>
      </w:r>
      <w:r w:rsidRPr="00DE57F2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E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Adayın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Yerleşme Puanı/500) X 0.50) + ((Adayın Gano’su/100) X 0.50) </w:t>
      </w:r>
      <w:r w:rsidRPr="00DE57F2">
        <w:rPr>
          <w:rFonts w:ascii="Times New Roman" w:hAnsi="Times New Roman" w:cs="Times New Roman"/>
          <w:color w:val="000000" w:themeColor="text1"/>
          <w:sz w:val="32"/>
          <w:szCs w:val="24"/>
        </w:rPr>
        <w:t>]</w:t>
      </w:r>
    </w:p>
    <w:p w:rsidR="0061073F" w:rsidRDefault="0061073F" w:rsidP="0061073F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İlan</w:t>
      </w:r>
    </w:p>
    <w:p w:rsidR="0061073F" w:rsidRDefault="0061073F" w:rsidP="004A550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MADDE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2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(1) Samsun Üniversitesinin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bünyesindeki diploma programları için belirlenen yatay geçiş kontenjanları</w:t>
      </w:r>
      <w:r w:rsidR="00DE57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başvuru şartları</w:t>
      </w:r>
      <w:r w:rsidR="003D4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başvuru ve değerlendirme takvimi, </w:t>
      </w:r>
      <w:bookmarkStart w:id="0" w:name="_GoBack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Yükseköğretim Kurulu ve </w:t>
      </w:r>
      <w:r w:rsidR="003112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Samsun Üniversitesi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internet sayfasında ilan edilir. </w:t>
      </w:r>
    </w:p>
    <w:p w:rsidR="0061073F" w:rsidRDefault="0061073F" w:rsidP="004A550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(2) Önlisans derecesi verilen diploma programlarında yatay geçiş kontenjanları ile başvuru ve değerlendirme takvimi ikinci yarıyıl için Ocak ayı, üçüncü yarıyıl için ise Temmuz ayı içinde ilan edilir. </w:t>
      </w:r>
    </w:p>
    <w:p w:rsidR="0061073F" w:rsidRDefault="0061073F" w:rsidP="004A5504">
      <w:pPr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(4)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aşvurusu olan tüm adayların isimleri, değerlendirmede esas alınan başarı puanlarına göre sıralanmış listesi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Öğrenci İşleri Daire Başkanlığı web sayfasında ilan edilir.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073F" w:rsidRDefault="0061073F" w:rsidP="004A5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Yürürlük</w:t>
      </w:r>
    </w:p>
    <w:p w:rsidR="0061073F" w:rsidRDefault="0061073F" w:rsidP="004A5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Bu </w:t>
      </w:r>
      <w:r w:rsidR="00C217FF">
        <w:rPr>
          <w:rFonts w:ascii="Times New Roman" w:hAnsi="Times New Roman" w:cs="Times New Roman"/>
          <w:color w:val="000000" w:themeColor="text1"/>
          <w:sz w:val="24"/>
          <w:szCs w:val="24"/>
        </w:rPr>
        <w:t>uygulama esasları Samsun</w:t>
      </w:r>
      <w:r w:rsidR="00C217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Üniversitesi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Senatosunda kabul edildiği tarihte yürürlüğe girer.</w:t>
      </w:r>
    </w:p>
    <w:bookmarkEnd w:id="0"/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Yürütme</w:t>
      </w:r>
    </w:p>
    <w:p w:rsidR="0061073F" w:rsidRDefault="0061073F" w:rsidP="006107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MADDE </w:t>
      </w:r>
      <w:r w:rsidR="00C217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Bu </w:t>
      </w:r>
      <w:r w:rsidR="00C217FF">
        <w:rPr>
          <w:rFonts w:ascii="Times New Roman" w:hAnsi="Times New Roman" w:cs="Times New Roman"/>
          <w:color w:val="000000" w:themeColor="text1"/>
          <w:sz w:val="24"/>
          <w:szCs w:val="24"/>
        </w:rPr>
        <w:t>uygulama esaslarını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Rektörü yürütür.</w:t>
      </w:r>
    </w:p>
    <w:p w:rsidR="00140B4B" w:rsidRDefault="00140B4B"/>
    <w:sectPr w:rsidR="0014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55" w:rsidRDefault="00CF6E55" w:rsidP="00F87252">
      <w:pPr>
        <w:spacing w:line="240" w:lineRule="auto"/>
      </w:pPr>
      <w:r>
        <w:separator/>
      </w:r>
    </w:p>
  </w:endnote>
  <w:endnote w:type="continuationSeparator" w:id="0">
    <w:p w:rsidR="00CF6E55" w:rsidRDefault="00CF6E55" w:rsidP="00F87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55" w:rsidRDefault="00CF6E55" w:rsidP="00F87252">
      <w:pPr>
        <w:spacing w:line="240" w:lineRule="auto"/>
      </w:pPr>
      <w:r>
        <w:separator/>
      </w:r>
    </w:p>
  </w:footnote>
  <w:footnote w:type="continuationSeparator" w:id="0">
    <w:p w:rsidR="00CF6E55" w:rsidRDefault="00CF6E55" w:rsidP="00F872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140B4B"/>
    <w:rsid w:val="0015352D"/>
    <w:rsid w:val="00183CE9"/>
    <w:rsid w:val="002F4919"/>
    <w:rsid w:val="00311208"/>
    <w:rsid w:val="003248CA"/>
    <w:rsid w:val="003D40C1"/>
    <w:rsid w:val="003E7881"/>
    <w:rsid w:val="004A5504"/>
    <w:rsid w:val="00603609"/>
    <w:rsid w:val="0061073F"/>
    <w:rsid w:val="006C7677"/>
    <w:rsid w:val="00852950"/>
    <w:rsid w:val="00885AAB"/>
    <w:rsid w:val="00895912"/>
    <w:rsid w:val="00956051"/>
    <w:rsid w:val="00AF4D5E"/>
    <w:rsid w:val="00B34214"/>
    <w:rsid w:val="00C217FF"/>
    <w:rsid w:val="00CF6E55"/>
    <w:rsid w:val="00CF75B5"/>
    <w:rsid w:val="00DD0901"/>
    <w:rsid w:val="00DE57F2"/>
    <w:rsid w:val="00F87252"/>
    <w:rsid w:val="00F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E2FE-049F-4A57-8AFB-D813FAC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3F"/>
    <w:pPr>
      <w:spacing w:after="0"/>
    </w:pPr>
  </w:style>
  <w:style w:type="paragraph" w:styleId="Balk1">
    <w:name w:val="heading 1"/>
    <w:basedOn w:val="Normal"/>
    <w:next w:val="Normal"/>
    <w:link w:val="Balk1Char"/>
    <w:uiPriority w:val="9"/>
    <w:qFormat/>
    <w:rsid w:val="00F8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0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73F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87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87252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F8725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8725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7252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72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7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D3F8-5816-4C54-8A1E-406A111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Aydınn</dc:creator>
  <cp:lastModifiedBy>Windows Kullanıcısı</cp:lastModifiedBy>
  <cp:revision>9</cp:revision>
  <dcterms:created xsi:type="dcterms:W3CDTF">2018-09-20T13:32:00Z</dcterms:created>
  <dcterms:modified xsi:type="dcterms:W3CDTF">2018-12-27T11:27:00Z</dcterms:modified>
</cp:coreProperties>
</file>